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51</w:t>
      </w:r>
    </w:p>
    <w:p>
      <w:r>
        <w:t>Bundesgericht (BGE), 1996-03-04, DE</w:t>
      </w:r>
    </w:p>
    <w:p>
      <w:r>
        <w:rPr>
          <w:b/>
        </w:rPr>
        <w:t xml:space="preserve">Quelle: </w:t>
      </w:r>
      <w:r>
        <w:t>https://mcp.opencaselaw.ch/entscheid/bge_122 IV 51</w:t>
      </w:r>
    </w:p>
    <w:p>
      <w:r>
        <w:t>FR: ATF 122 IV 51</w:t>
      </w:r>
    </w:p>
    <w:p>
      <w:r>
        <w:t>IT: DTF 122 IV 51</w:t>
      </w:r>
    </w:p>
    <w:p>
      <w:pPr>
        <w:pStyle w:val="Heading2"/>
      </w:pPr>
      <w:r>
        <w:t>Regeste</w:t>
      </w:r>
    </w:p>
    <w:p>
      <w:r>
        <w:t>Regeste Art. 43 Ziff. 3, Art. 44 Ziff. 4, Art. 47 und Art. 69 StGB; in Israel durchgeführtes sog. Rehabilitationsprogramm, Anrechnung auf eine in der Schweiz zu verbüssende Freiheitsstrafe. Analoge Anwendung der von der Rechtsprechung entwickelten Grundsätze zur Anrechnung freiheitsentziehender Massnahmen und anstelle der Untersuchungshaft angeordneter Ersatzmassnahmen auf die Freiheitsstrafe (E. 3a). Keine Ermessensüberschreitung durch Ablehnung der Anrechnung, da die persönliche Freiheit des Betroffenen durch das Rehabilitationsprogramm nicht nennenswert eingeschränkt war (E. 3b).</w:t>
      </w:r>
    </w:p>
    <w:p>
      <w:pPr>
        <w:pStyle w:val="Heading2"/>
      </w:pPr>
      <w:r>
        <w:t>Erwägungen</w:t>
      </w:r>
    </w:p>
    <w:p>
      <w:r>
        <w:rPr>
          <w:b/>
        </w:rPr>
        <w:t>E. 1</w:t>
      </w:r>
    </w:p>
    <w:p>
      <w:r>
        <w:t>Die Beschwerdegegnerin hat die Anrechnung des in Israel durchgeführten Rehabilitationsprogramms auf die in der Schweiz zu verbüssende Zuchthausstrafe abgelehnt. Dabei handelt es sich um eine strafvollzugsrechtliche Entscheidung. Die Verwaltungsgerichtsbeschwerde - zu beurteilen durch den Kassationshof - ist daher zulässig (Art. 98 lit. g und Art. 100 lit. f [e contrario] OG; Art. 7 Ziff. 3 des Reglements für das Schweizerische Bundesgericht).</w:t>
      </w:r>
    </w:p>
    <w:p>
      <w:r>
        <w:rPr>
          <w:b/>
        </w:rPr>
        <w:t>E. 2</w:t>
      </w:r>
    </w:p>
    <w:p>
      <w:r>
        <w:t>Die Beschwerdegegnerin erachtet die Verfügung des stellvertretenden Generalsekretärs vom 9. August 1991 als nichtig. Dieser sei zum Erlass der Verfügung weder sachlich noch funktionell zuständig gewesen. Es seien überdies schwere Verfahrensfehler begangen worden. Diese Mängel seien für den Beschwerdeführer erkennbar gewesen. In Israel habe er sich nicht einer der Zuchthausstrafe nach schweizerischem Recht vergleichbaren Sanktion unterziehen müssen. Er habe dort ein Rehabilitationsprogramm absolviert, das der Schutzaufsicht nach bedingter Entlassung aus dem Strafvollzug nach schweizerischem Recht oder allenfalls einer ambulanten Massnahme unter gleichzeitigem Aufschub des Strafvollzuges gleichzusetzen sei. Der angeordneten Zuchthausstrafe sei diese "Sanktionsform" nicht im entferntesten ähnlich. Die Beschwerdegegnerin lehnt deshalb eine Anrechnung ab. Der Beschwerdeführer sei durch das Rehabilitationsprogramm in seiner persönlichen Freiheit nicht nennenswert eingeschränkt gewesen.</w:t>
      </w:r>
    </w:p>
    <w:p>
      <w:r>
        <w:rPr>
          <w:b/>
        </w:rPr>
        <w:t>E. 3</w:t>
      </w:r>
    </w:p>
    <w:p>
      <w:r>
        <w:t>a) Das Bundesgericht hatte sich zur Frage der Anrechnung eines sogenannten Rehabilitationsprogramms, wie es hier gegenüber dem Beschwerdeführer in Israel durchgeführt wurde, bisher nicht auszusprechen. Es hat sich allerdings zu vergleichbaren Fragestellungen geäussert im Zusammenhang mit der Anrechnung freiheitsentziehender Massnahmen und anstelle der Untersuchungshaft angeordneter Ersatzmassnahmen auf die Freiheitsstrafe. BGE 122 IV 51 S. 54 Die Dauer freiheitsentziehender Massnahmen ist nach der Rechtsprechung grundsätzlich auf die aufgeschobene Freiheitsstrafe anzurechnen.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Richter steht in der Frage, ob und in welchem Umfang die Behandlung anzurechnen ist, ein erheblicher Spielraum des Ermessens zu ( BGE 121 IV 303 E. 4b mit Hinweisen). In Betracht kommt die Anrechnung auch bei einem Drogenentzug im Ausland. Auch in solchen Fällen kann der erkennende Richter abklären, ob die Beschränkung der persönlichen Freiheit in der ausländischen Institution ungefähr dem Freiheitsentzug in einer schweizerischen Heil- und Pflegeanstalt gleichkommt ( BGE 114 IV 85 E. 4). Anstelle der Untersuchungshaft angeordnete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Untersuchungshaft zu berücksichtigen. Erhebliche Unterschiede im Ausmass der effektiven Beschränkung der persönlichen Freiheit im Falle einer konkreten Ersatzmassnahme einerseits und im Falle der Untersuchungshaft andererseits könnten bei alleinigem Abstellen auf die Zeitdauer zu einer ungerechtfertigten Privilegierung des von der Ersatzmassnahme Betroffenen führen. Der Richter hat deshalb bei der Bestimmung der anrechenbaren Dauer dieser Ersatzmassnahme den Grad der Beschränkung der persönlichen Freiheit im Vergleich zum Freiheitsentzug bei der Untersuchungshaft mitzuberücksichtigen. Ist in dieser Hinsicht der Vollzug der BGE 122 IV 51 S. 55 Ersatzmassnahme in der konkreten Institution dem Vollzug normaler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 BGE 113 IV 118 E. 2c). Diese Grundsätze können im vorliegenden Fall analog herangezogen werden. b) Nach einem Bericht der Israelischen Botschaft in Paris an das Schweizerische Zentralpolizeibüro vom 11. Mai 1992 hat M., Verantwortlicher des Rehabilitationsprogrammes in Israel, den Beschwerdeführer im Flughafen in Tel Aviv in Empfang genommen. M. habe dann während 4 Monaten täglich mit dem Beschwerdeführer Kontakt gehabt. Während dieser Zeitspanne habe M. den Beschwerdeführer zu Amtsstellen begleitet, um gewisse Probleme zu regeln (Führerausweis usw.). M. habe auch Anstrengungen unternommen zur Aussöhnung des Beschwerdeführers mit seiner Familie. Zudem habe er dem Beschwerdeführer eine Zahnbehandlung ermöglicht. Zurzeit habe M. einmal wöchentlich telephonischen Kontakt mit dem Beschwerdeführer. In seiner Einvernahme bei der Kantonspolizei Zürich vom 11. August 1994 sagte der Beschwerdeführer aus: "Herr W. wusste (...) genau, dass ich, wenn ich in Israel ankomme, ein freier Mann sein werde. Er wusste also genau, dass ich nicht in Israel ins Gefängnis gehen muss, sondern mein Rehabilitationsprogramm zu Hause bei meiner Frau in Freiheit machen kann. Mir ist nicht klar, warum ich von der Polizei nach Israel begleitet worden bin, obwohl ganz klar war, dass ich in Israel ein freier Mann sein werde." Die Frage "Dann ist es also richtig, dass Sie nach der Übergabe durch die beiden Polizeibeamten in Tel Aviv am 14. August 1991 als freier Mann den erwähnten Flughafen verliessen?" bejahte der Beschwerdeführer. Auf die anschliessende Frage "Dann waren Sie also in Israel nach Ihrer Ankunft am 14. August 1991 nie in einem Gefängnis oder sonst irgendwo in Haft?" gab der Beschwerdeführer zur Antwort: "Nein, nicht einmal die Polizei in Tel Aviv stellte mir Fragen oder setzte sich mit mir in Verbindung". Das in Israel durchgeführte Rehabilitationsprogramm lässt sich nach der zutreffenden Ansicht der Beschwerdegegnerin demnach am ehesten mit einer Schutzaufsicht nach Art. 47 StGB vergleichen. M. hat dem Beschwerdeführer in Israel bei der Bewältigung verschiedener administrativer und persönlicher Probleme geholfen. Der Beschwerdeführer war dadurch BGE 122 IV 51 S. 56 bessergestellt, als wenn er sich in Israel allein hätte zurechtfinden müssen. Es ist nicht ersichtlich und wird in der Beschwerde nicht substantiiert dargetan, dass der Beschwerdeführer in Israel einer nennenswerten Beschränkung seiner persönlichen Freiheit unterworfen war. Die Beschwerdegegnerin hat ihr Ermessen deshalb nicht überschritten, wenn sie von einer Anrechnung abgesehen hat. c) Die Einwände des Beschwerdeführers sind unbehelflich. Er befand sich weder in einer Heil- oder Pflegeanstalt noch stationär in einer vergleichbaren Institution. Aus Art. 40 Abs. 2 StGB kann er deshalb nichts herleiten. Zwar wird er jetzt in einem späteren Zeitpunkt aus dem Strafvollzug entlassen, als wenn er nicht nach Israel überführt worden wäre. Da er in Israel in Freiheit war, bleibt sich die Zeit, die er im Strafvollzug zu verbringen hat, insgesamt jedoch gleich. Die Verweigerung der Anrechnung widerspricht deshalb dem Gerechtigkeitsgebot nicht.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